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Cabinete medicale de medicină de familie</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Cabinete medicale de medicină de familie, cabinete medicale de specialitate</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1.000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250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în Registrul unic al cabinetelor medicale, eliberat de Direcția de Sănătate Publică Maramureș</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sanitară de funcționare,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Polița de asigurare de răspundere civilă în domeniul medical a cabinetului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E (cabinete medicale de medicină de familie, cabinete de specialitate, centre medicale)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aparaturii din dotare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6</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Medici</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Medicilor din România, cu avizul anual valabil (pentru medicii străini: avizul de practică temporară sau ocazională)</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Asistenți medicali</w:t>
      </w:r>
    </w:p>
    <w:p>
      <w:pPr>
        <w:pStyle w:val="ListParagraph"/>
        <w:numPr>
          <w:ilvl w:val="0"/>
          <w:numId w:val="3"/>
        </w:numPr>
        <w:spacing w:after="60" w:before="0" w:line="276"/>
      </w:pPr>
      <w:r>
        <w:rPr>
          <w:rFonts w:ascii="CAS Font" w:cs="CAS Font" w:eastAsia="CAS Font" w:hAnsi="CAS Font"/>
          <w:sz w:val="21"/>
          <w:szCs w:val="21"/>
        </w:rPr>
        <w:t xml:space="preserve">certificatul de membru al OAMGMAMR, cu avizul anual de liberă practică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18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Cabinetul are certificat de înregistrare în registrul unic al cabinetelor medicale, eliberat de Direcția de Sănătate Publică sau statut legal din care rezultă obiectul de activitate,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Cabinetul are autorizație sanitară în vigoare eliberată de Direcția de Sănătate Publică.</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Cabinetul își desfășoară activitatea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Cabinetul face dovada deținerii asigurării de răspundere civilă în domeniul medical.</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Medicii au certificat de membru al Colegiului Medicilor din România, cu excepția medicilor străini care au aviz de practică temporară/ocazională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Asistenții medicali au certificat de membru al OAMGMAMR,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Medicii, asistenții medicali și celălalt personal își desfășoară activitatea într-o formă legală la furnizor.</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Medicii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II.5 </w:t>
      </w:r>
      <w:r>
        <w:rPr>
          <w:rFonts w:ascii="CAS Font" w:cs="CAS Font" w:eastAsia="CAS Font" w:hAnsi="CAS Font"/>
          <w:sz w:val="21"/>
          <w:szCs w:val="21"/>
        </w:rPr>
        <w:t xml:space="preserve">Asistenții medicali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II.6 </w:t>
      </w:r>
      <w:r>
        <w:rPr>
          <w:rFonts w:ascii="CAS Font" w:cs="CAS Font" w:eastAsia="CAS Font" w:hAnsi="CAS Font"/>
          <w:sz w:val="21"/>
          <w:szCs w:val="21"/>
        </w:rPr>
        <w:t xml:space="preserve">Personalul are fișe de post cu atribuțiile specifice semnate de fiecare angajat și aprobate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III.9 </w:t>
      </w:r>
      <w:r>
        <w:rPr>
          <w:rFonts w:ascii="CAS Font" w:cs="CAS Font" w:eastAsia="CAS Font" w:hAnsi="CAS Font"/>
          <w:sz w:val="21"/>
          <w:szCs w:val="21"/>
        </w:rPr>
        <w:t xml:space="preserve">Sunt afișate tarifele pentru serviciile medicale care nu fac parte din pachetul de bază și care nu sunt decontate de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IV.3 </w:t>
      </w:r>
      <w:r>
        <w:rPr>
          <w:rFonts w:ascii="CAS Font" w:cs="CAS Font" w:eastAsia="CAS Font" w:hAnsi="CAS Font"/>
          <w:sz w:val="21"/>
          <w:szCs w:val="21"/>
        </w:rPr>
        <w:t xml:space="preserve">Medicamentele și materialele sanitare utilizate în cadrul activității medicale sunt înregistrate conform actelor normative în vigoare și depozitate conform recomandărilor producătorului.</w:t>
      </w:r>
    </w:p>
    <w:p>
      <w:pPr>
        <w:pStyle w:val="ListParagraph"/>
        <w:numPr>
          <w:ilvl w:val="0"/>
          <w:numId w:val="3"/>
        </w:numPr>
        <w:spacing w:after="60" w:before="0" w:line="276"/>
      </w:pPr>
      <w:r>
        <w:rPr>
          <w:rFonts w:ascii="CAS Font" w:cs="CAS Font" w:eastAsia="CAS Font" w:hAnsi="CAS Font"/>
          <w:b/>
          <w:bCs/>
          <w:sz w:val="21"/>
          <w:szCs w:val="21"/>
        </w:rPr>
        <w:t xml:space="preserve">IV.5 </w:t>
      </w:r>
      <w:r>
        <w:rPr>
          <w:rFonts w:ascii="CAS Font" w:cs="CAS Font" w:eastAsia="CAS Font" w:hAnsi="CAS Font"/>
          <w:sz w:val="21"/>
          <w:szCs w:val="21"/>
        </w:rPr>
        <w:t xml:space="preserve">Cabinetul are în dotare aparatura medicală și materialele necesare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IV.8 </w:t>
      </w:r>
      <w:r>
        <w:rPr>
          <w:rFonts w:ascii="CAS Font" w:cs="CAS Font" w:eastAsia="CAS Font" w:hAnsi="CAS Font"/>
          <w:sz w:val="21"/>
          <w:szCs w:val="21"/>
        </w:rPr>
        <w:t xml:space="preserve">Cabinetul face dovada deținerii legale a aparaturii din dotare.</w:t>
      </w:r>
    </w:p>
    <w:p>
      <w:pPr>
        <w:pStyle w:val="ListParagraph"/>
        <w:numPr>
          <w:ilvl w:val="0"/>
          <w:numId w:val="3"/>
        </w:numPr>
        <w:spacing w:after="60" w:before="0" w:line="276"/>
      </w:pPr>
      <w:r>
        <w:rPr>
          <w:rFonts w:ascii="CAS Font" w:cs="CAS Font" w:eastAsia="CAS Font" w:hAnsi="CAS Font"/>
          <w:b/>
          <w:bCs/>
          <w:sz w:val="21"/>
          <w:szCs w:val="21"/>
        </w:rPr>
        <w:t xml:space="preserve">IV.9 </w:t>
      </w:r>
      <w:r>
        <w:rPr>
          <w:rFonts w:ascii="CAS Font" w:cs="CAS Font" w:eastAsia="CAS Font" w:hAnsi="CAS Font"/>
          <w:sz w:val="21"/>
          <w:szCs w:val="21"/>
        </w:rPr>
        <w:t xml:space="preserve">Cabinetul are contract pentru colectarea și distrugerea (neutralizarea) deșeurilor cu risc biologic.</w:t>
      </w:r>
    </w:p>
    <w:p>
      <w:pPr>
        <w:pStyle w:val="ListParagraph"/>
        <w:numPr>
          <w:ilvl w:val="0"/>
          <w:numId w:val="3"/>
        </w:numPr>
        <w:spacing w:after="60" w:before="0" w:line="276"/>
      </w:pPr>
      <w:r>
        <w:rPr>
          <w:rFonts w:ascii="CAS Font" w:cs="CAS Font" w:eastAsia="CAS Font" w:hAnsi="CAS Font"/>
          <w:b/>
          <w:bCs/>
          <w:sz w:val="21"/>
          <w:szCs w:val="21"/>
        </w:rPr>
        <w:t xml:space="preserve">IV.10 </w:t>
      </w:r>
      <w:r>
        <w:rPr>
          <w:rFonts w:ascii="CAS Font" w:cs="CAS Font" w:eastAsia="CAS Font" w:hAnsi="CAS Font"/>
          <w:sz w:val="21"/>
          <w:szCs w:val="21"/>
        </w:rPr>
        <w:t xml:space="preserve">Cabinetul deține un post/terminal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V.1 </w:t>
      </w:r>
      <w:r>
        <w:rPr>
          <w:rFonts w:ascii="CAS Font" w:cs="CAS Font" w:eastAsia="CAS Font" w:hAnsi="CAS Font"/>
          <w:sz w:val="21"/>
          <w:szCs w:val="21"/>
        </w:rPr>
        <w:t xml:space="preserve">Cabinetul, în funcție de specialitate, deține evidențe specifice: evidența consultațiilor, tratamentelor și a serviciilor medicale oferite cu înregistrarea în următoarele documente primare, după caz: fișele de consultații; registre de consultații; registre de tratamente; registrul de stupefiante; fișa gravidei; fișele și registrele specifice activității de medicină fizică și reabilitare, unde este cazul; registrul actualizat pentru evidența bolnavilor cronici; alte documente primare stabilite prin reglementări speciale astfel încât să fie identificabil asiguratul și persoana care a oferit serviciul, diagnosticul, tratamentul precum data și ora când acesta a fost furnizat.</w:t>
      </w:r>
    </w:p>
    <w:p>
      <w:pPr>
        <w:pStyle w:val="ListParagraph"/>
        <w:numPr>
          <w:ilvl w:val="0"/>
          <w:numId w:val="3"/>
        </w:numPr>
        <w:spacing w:after="60" w:before="0" w:line="276"/>
      </w:pPr>
      <w:r>
        <w:rPr>
          <w:rFonts w:ascii="CAS Font" w:cs="CAS Font" w:eastAsia="CAS Font" w:hAnsi="CAS Font"/>
          <w:b/>
          <w:bCs/>
          <w:sz w:val="21"/>
          <w:szCs w:val="21"/>
        </w:rPr>
        <w:t xml:space="preserve">V.3 </w:t>
      </w:r>
      <w:r>
        <w:rPr>
          <w:rFonts w:ascii="CAS Font" w:cs="CAS Font" w:eastAsia="CAS Font" w:hAnsi="CAS Font"/>
          <w:sz w:val="21"/>
          <w:szCs w:val="21"/>
        </w:rPr>
        <w:t xml:space="preserve">Furnizorul deține și utilizează, după caz, documentele tipizate, conform prevederilor legale în vigoare.</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Regulamentul intern și Regulamentul de organizare și funcționare (ROF), cu semnăturile de luare la cunoștință ale întregului personal</w:t>
      </w:r>
    </w:p>
    <w:p>
      <w:pPr>
        <w:pStyle w:val="ListParagraph"/>
        <w:numPr>
          <w:ilvl w:val="0"/>
          <w:numId w:val="3"/>
        </w:numPr>
        <w:spacing w:after="60" w:before="0" w:line="276"/>
      </w:pPr>
      <w:r>
        <w:rPr>
          <w:rFonts w:ascii="CAS Font" w:cs="CAS Font" w:eastAsia="CAS Font" w:hAnsi="CAS Font"/>
          <w:sz w:val="21"/>
          <w:szCs w:val="21"/>
        </w:rPr>
        <w:t xml:space="preserve">fișele de post semnate de titulari și aprobate de reprezentantul legal</w:t>
      </w:r>
    </w:p>
    <w:p>
      <w:pPr>
        <w:pStyle w:val="ListParagraph"/>
        <w:numPr>
          <w:ilvl w:val="0"/>
          <w:numId w:val="3"/>
        </w:numPr>
        <w:spacing w:after="60" w:before="0" w:line="276"/>
      </w:pPr>
      <w:r>
        <w:rPr>
          <w:rFonts w:ascii="CAS Font" w:cs="CAS Font" w:eastAsia="CAS Font" w:hAnsi="CAS Font"/>
          <w:sz w:val="21"/>
          <w:szCs w:val="21"/>
        </w:rPr>
        <w:t xml:space="preserve">contractele de service sau întreținere pentru aparatură și dovada verificării periodice a echipamentelor, după caz</w:t>
      </w:r>
    </w:p>
    <w:p>
      <w:pPr>
        <w:pStyle w:val="ListParagraph"/>
        <w:numPr>
          <w:ilvl w:val="0"/>
          <w:numId w:val="3"/>
        </w:numPr>
        <w:spacing w:after="60" w:before="0" w:line="276"/>
      </w:pPr>
      <w:r>
        <w:rPr>
          <w:rFonts w:ascii="CAS Font" w:cs="CAS Font" w:eastAsia="CAS Font" w:hAnsi="CAS Font"/>
          <w:sz w:val="21"/>
          <w:szCs w:val="21"/>
        </w:rPr>
        <w:t xml:space="preserve">contractul pentru colectarea și neutralizarea deșeurilor cu risc biologic</w:t>
      </w:r>
    </w:p>
    <w:p>
      <w:pPr>
        <w:pStyle w:val="ListParagraph"/>
        <w:numPr>
          <w:ilvl w:val="0"/>
          <w:numId w:val="3"/>
        </w:numPr>
        <w:spacing w:after="60" w:before="0" w:line="276"/>
      </w:pPr>
      <w:r>
        <w:rPr>
          <w:rFonts w:ascii="CAS Font" w:cs="CAS Font" w:eastAsia="CAS Font" w:hAnsi="CAS Font"/>
          <w:sz w:val="21"/>
          <w:szCs w:val="21"/>
        </w:rPr>
        <w:t xml:space="preserve">registrele și fișele de consultații, registrul bolnavilor cronici și celelalte documente primare</w:t>
      </w:r>
    </w:p>
    <w:p>
      <w:pPr>
        <w:spacing w:after="120" w:before="80" w:line="276"/>
      </w:pPr>
      <w:r>
        <w:rPr>
          <w:rFonts w:ascii="CAS Font" w:cs="CAS Font" w:eastAsia="CAS Font" w:hAnsi="CAS Font"/>
          <w:b/>
          <w:bCs/>
          <w:sz w:val="21"/>
          <w:szCs w:val="21"/>
        </w:rPr>
        <w:t xml:space="preserve">Dotarea. </w:t>
      </w:r>
      <w:r>
        <w:rPr>
          <w:rFonts w:ascii="CAS Font" w:cs="CAS Font" w:eastAsia="CAS Font" w:hAnsi="CAS Font"/>
          <w:sz w:val="21"/>
          <w:szCs w:val="21"/>
        </w:rPr>
        <w:t xml:space="preserve">Aparatura și materialele din tabelul Anexei 6 trebuie să acopere dotarea minimă pentru medicina de familie, prevăzută în Anexa 4 la normele metodologice aprobate prin Ordinul ministrului sănătății nr. 1670/2025, cu modificările ulterioare (poziția 28, „Medicină de familie”).</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casmm.ro/furnizori/evaluare/medicina-de-familie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cabinete medicale de medicină de familie.</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CABINETELE MEDICALE DE MEDICINĂ DE FAMILIE, CABINETELE MEDICALE DE SPECIALITATE, CENTRELE MEDICALE, CENTRELE DE DIAGNOSTIC ȘI TRATAMENT ȘI CENTRELE DE SĂNĂTATE</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certificat de înregistrare în registrul unic al cabinetelor medicale, eliberat de Direcția de Sănătate Publică sau statut legal din care rezultă obiectul de activitate,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autorizație sanitară în vigoare eliberată de Direcția de Sănătate Publică.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își desfășoară activitatea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asigurării de răspundere civilă în domeniul medical.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au certificat de membru al Colegiului Medicilor din România, cu excepția medicilor străini care au aviz de practică temporară/ocazională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au certificat de membru al OAMGMAMR,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asistenții medicali și celălalt personal își desfășoară activitatea într-o formă legală la furnizor.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are fișe de post cu atribuțiile specifice semnate de fiecare angajat și aprobate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cabinetului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un program de lucru stabilit conform reglementărilor legale în vigoare, afișat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expus la loc vizibil numele casei de asigurări de sănătate cu care se află în contract, precum și datele de contact ale acesteia,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poartă în permanență un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Sunt afișate tarifele pentru serviciile medicale care nu fac parte din pachetul de bază și care nu sunt decontate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Este afișat numărul de telefon la care se poate face programarea la consultații.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Sala de așteptare a furnizorului este dotată conform normelor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asigură accesul persoanelor cu handicap locomotor.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Medicamentele și materialele sanitare utilizate în cadrul activității medicale sunt înregistrate conform actelor normative în vigoare și depozitate conform recomandărilor producătorului.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Aparatul medical de urgență conține medicamente și materiale sanitare aflate în termenul de valabilitate.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în dotare aparatura medicală și materialele necesare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verificării periodice a echipamentelor utilizate în conformitate cu reglementările ANMDMR,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contract de service/întreținere pentru aparatura din dotare,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face dovada deținerii legale a aparaturii din dotare.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are contract pentru colectarea și distrugerea (neutralizarea) deșeurilor cu risc biologic.</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Cabinetul deține un post/terminal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Cabinetul, în funcție de specialitate, deține evidențe specifice: evidența consultațiilor, tratamentelor și a serviciilor medicale oferite cu înregistrarea în următoarele documente primare, după caz:</w:t>
            </w:r>
          </w:p>
          <w:p>
            <w:pPr>
              <w:spacing w:after="20" w:before="0" w:line="240"/>
              <w:ind w:left="200"/>
            </w:pPr>
            <w:r>
              <w:rPr>
                <w:rFonts w:ascii="CAS Font" w:cs="CAS Font" w:eastAsia="CAS Font" w:hAnsi="CAS Font"/>
                <w:sz w:val="18"/>
                <w:szCs w:val="18"/>
              </w:rPr>
              <w:t xml:space="preserve">– fișele de consultații;</w:t>
            </w:r>
          </w:p>
          <w:p>
            <w:pPr>
              <w:spacing w:after="20" w:before="0" w:line="240"/>
              <w:ind w:left="200"/>
            </w:pPr>
            <w:r>
              <w:rPr>
                <w:rFonts w:ascii="CAS Font" w:cs="CAS Font" w:eastAsia="CAS Font" w:hAnsi="CAS Font"/>
                <w:sz w:val="18"/>
                <w:szCs w:val="18"/>
              </w:rPr>
              <w:t xml:space="preserve">– registre de consultații;</w:t>
            </w:r>
          </w:p>
          <w:p>
            <w:pPr>
              <w:spacing w:after="20" w:before="0" w:line="240"/>
              <w:ind w:left="200"/>
            </w:pPr>
            <w:r>
              <w:rPr>
                <w:rFonts w:ascii="CAS Font" w:cs="CAS Font" w:eastAsia="CAS Font" w:hAnsi="CAS Font"/>
                <w:sz w:val="18"/>
                <w:szCs w:val="18"/>
              </w:rPr>
              <w:t xml:space="preserve">– registre de tratamente;</w:t>
            </w:r>
          </w:p>
          <w:p>
            <w:pPr>
              <w:spacing w:after="20" w:before="0" w:line="240"/>
              <w:ind w:left="200"/>
            </w:pPr>
            <w:r>
              <w:rPr>
                <w:rFonts w:ascii="CAS Font" w:cs="CAS Font" w:eastAsia="CAS Font" w:hAnsi="CAS Font"/>
                <w:sz w:val="18"/>
                <w:szCs w:val="18"/>
              </w:rPr>
              <w:t xml:space="preserve">– registrul de stupefiante;</w:t>
            </w:r>
          </w:p>
          <w:p>
            <w:pPr>
              <w:spacing w:after="20" w:before="0" w:line="240"/>
              <w:ind w:left="200"/>
            </w:pPr>
            <w:r>
              <w:rPr>
                <w:rFonts w:ascii="CAS Font" w:cs="CAS Font" w:eastAsia="CAS Font" w:hAnsi="CAS Font"/>
                <w:sz w:val="18"/>
                <w:szCs w:val="18"/>
              </w:rPr>
              <w:t xml:space="preserve">– fișa gravidei;</w:t>
            </w:r>
          </w:p>
          <w:p>
            <w:pPr>
              <w:spacing w:after="20" w:before="0" w:line="240"/>
              <w:ind w:left="200"/>
            </w:pPr>
            <w:r>
              <w:rPr>
                <w:rFonts w:ascii="CAS Font" w:cs="CAS Font" w:eastAsia="CAS Font" w:hAnsi="CAS Font"/>
                <w:sz w:val="18"/>
                <w:szCs w:val="18"/>
              </w:rPr>
              <w:t xml:space="preserve">– fișele și registrele specifice activității de medicină fizică și reabilitare, unde este cazul;</w:t>
            </w:r>
          </w:p>
          <w:p>
            <w:pPr>
              <w:spacing w:after="20" w:before="0" w:line="240"/>
              <w:ind w:left="200"/>
            </w:pPr>
            <w:r>
              <w:rPr>
                <w:rFonts w:ascii="CAS Font" w:cs="CAS Font" w:eastAsia="CAS Font" w:hAnsi="CAS Font"/>
                <w:sz w:val="18"/>
                <w:szCs w:val="18"/>
              </w:rPr>
              <w:t xml:space="preserve">– registrul actualizat pentru evidența bolnavilor cronici;</w:t>
            </w:r>
          </w:p>
          <w:p>
            <w:pPr>
              <w:spacing w:after="20" w:before="0" w:line="240"/>
              <w:ind w:left="200"/>
            </w:pPr>
            <w:r>
              <w:rPr>
                <w:rFonts w:ascii="CAS Font" w:cs="CAS Font" w:eastAsia="CAS Font" w:hAnsi="CAS Font"/>
                <w:sz w:val="18"/>
                <w:szCs w:val="18"/>
              </w:rPr>
              <w:t xml:space="preserve">– alte documente primare stabilite prin reglementări speciale astfel încât să fie identificabil asiguratul și persoana care a oferit serviciul, diagnosticul, tratamentul precum data și ora când acesta a fost furnizat.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Pentru pacienții cu afecțiuni cronice care necesită îngrijire și tratament special, serviciile medicale furnizate se înregistrează obligatoriu atât în fișele de consultații, cât și în registrul de consultații.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și utilizează, după caz, documentele tipizate,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ROF vor fi menționate în mod expres următoarele:</w:t>
            </w:r>
          </w:p>
          <w:p>
            <w:pPr>
              <w:spacing w:after="20" w:before="0" w:line="240"/>
              <w:ind w:left="200"/>
            </w:pPr>
            <w:r>
              <w:rPr>
                <w:rFonts w:ascii="CAS Font" w:cs="CAS Font" w:eastAsia="CAS Font" w:hAnsi="CAS Font"/>
                <w:sz w:val="18"/>
                <w:szCs w:val="18"/>
              </w:rPr>
              <w:t xml:space="preserve">– definirea manevrelor care implică soluții de continuitate, a materialelor utilizate și a condițiilor de sterilizare;</w:t>
            </w:r>
          </w:p>
          <w:p>
            <w:pPr>
              <w:spacing w:after="20" w:before="0" w:line="240"/>
              <w:ind w:left="200"/>
            </w:pPr>
            <w:r>
              <w:rPr>
                <w:rFonts w:ascii="CAS Font" w:cs="CAS Font" w:eastAsia="CAS Font" w:hAnsi="CAS Font"/>
                <w:sz w:val="18"/>
                <w:szCs w:val="18"/>
              </w:rPr>
              <w:t xml:space="preserve">– obligativitatea păstrării confidențialității asupra tuturor informațiilor ce decurg din serviciile medicale acordate asiguraților;</w:t>
            </w:r>
          </w:p>
          <w:p>
            <w:pPr>
              <w:spacing w:after="20" w:before="0" w:line="240"/>
              <w:ind w:left="200"/>
            </w:pPr>
            <w:r>
              <w:rPr>
                <w:rFonts w:ascii="CAS Font" w:cs="CAS Font" w:eastAsia="CAS Font" w:hAnsi="CAS Font"/>
                <w:sz w:val="18"/>
                <w:szCs w:val="18"/>
              </w:rPr>
              <w:t xml:space="preserve">– obligativitatea acordării serviciilor medicale în mod nediscriminatoriu asiguraților;</w:t>
            </w:r>
          </w:p>
          <w:p>
            <w:pPr>
              <w:spacing w:after="20" w:before="0" w:line="240"/>
              <w:ind w:left="200"/>
            </w:pPr>
            <w:r>
              <w:rPr>
                <w:rFonts w:ascii="CAS Font" w:cs="CAS Font" w:eastAsia="CAS Font" w:hAnsi="CAS Font"/>
                <w:sz w:val="18"/>
                <w:szCs w:val="18"/>
              </w:rPr>
              <w:t xml:space="preserve">– obligativitatea respectării dreptului la libera alegere a furnizorului de servicii medicale în situațiile de trimitere în consulturi interdisciplinare;</w:t>
            </w:r>
          </w:p>
          <w:p>
            <w:pPr>
              <w:spacing w:after="20" w:before="0" w:line="240"/>
              <w:ind w:left="200"/>
            </w:pPr>
            <w:r>
              <w:rPr>
                <w:rFonts w:ascii="CAS Font" w:cs="CAS Font" w:eastAsia="CAS Font" w:hAnsi="CAS Font"/>
                <w:sz w:val="18"/>
                <w:szCs w:val="18"/>
              </w:rPr>
              <w:t xml:space="preserve">– neutilizarea materialelor și a instrumentelor a căror condiție de sterilizare nu este sigură;</w:t>
            </w:r>
          </w:p>
          <w:p>
            <w:pPr>
              <w:spacing w:after="20" w:before="0" w:line="240"/>
              <w:ind w:left="200"/>
            </w:pPr>
            <w:r>
              <w:rPr>
                <w:rFonts w:ascii="CAS Font" w:cs="CAS Font" w:eastAsia="CAS Font" w:hAnsi="CAS Font"/>
                <w:sz w:val="18"/>
                <w:szCs w:val="18"/>
              </w:rPr>
              <w:t xml:space="preserve">– obligativitatea completării prescripțiilor medicale conexe actului medical atunci când este cazul pentru afecțiuni acute, subacute, cronice.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cabinet se află lista de programare a asiguraților la consultații și lista cu criteriile de acces prioritar la serviciile furnizorului. 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38</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p>
      <w:pPr>
        <w:pageBreakBefore/>
        <w:spacing w:after="0" w:before="0" w:line="276"/>
        <w:jc w:val="right"/>
      </w:pPr>
      <w:r>
        <w:rPr>
          <w:rFonts w:ascii="CAS Font" w:cs="CAS Font" w:eastAsia="CAS Font" w:hAnsi="CAS Font"/>
          <w:b/>
          <w:bCs/>
          <w:sz w:val="19"/>
          <w:szCs w:val="19"/>
        </w:rPr>
        <w:t xml:space="preserve">ANEXA Nr. 6</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80" w:before="0" w:line="276"/>
        <w:jc w:val="center"/>
      </w:pPr>
      <w:r>
        <w:rPr>
          <w:rFonts w:ascii="CAS Font" w:cs="CAS Font" w:eastAsia="CAS Font" w:hAnsi="CAS Font"/>
          <w:b/>
          <w:bCs/>
          <w:color w:val="000068"/>
          <w:sz w:val="26"/>
          <w:szCs w:val="26"/>
        </w:rPr>
        <w:t xml:space="preserve">APARATURA DIN DOTARE</w:t>
      </w:r>
    </w:p>
    <w:p>
      <w:pPr>
        <w:spacing w:after="120" w:before="0" w:line="276"/>
      </w:pPr>
      <w:r>
        <w:rPr>
          <w:rFonts w:ascii="CAS Font" w:cs="CAS Font" w:eastAsia="CAS Font" w:hAnsi="CAS Font"/>
          <w:i/>
          <w:iCs/>
          <w:sz w:val="17"/>
          <w:szCs w:val="17"/>
        </w:rPr>
        <w:t xml:space="preserve">Semnificația coloanei A: verificare metrologică/calibrare/etalonare.</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400"/>
        <w:gridCol w:w="2900"/>
        <w:gridCol w:w="1700"/>
        <w:gridCol w:w="1200"/>
        <w:gridCol w:w="1300"/>
        <w:gridCol w:w="1700"/>
        <w:gridCol w:w="1900"/>
        <w:gridCol w:w="1096"/>
      </w:tblGrid>
      <w:tr>
        <w:trPr>
          <w:cantSplit/>
          <w:tblHeader/>
        </w:trPr>
        <w:tc>
          <w:tcPr>
            <w:tcW w:type="dxa" w:w="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4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Categorie/ Tip aparat</w:t>
            </w:r>
          </w:p>
        </w:tc>
        <w:tc>
          <w:tcPr>
            <w:tcW w:type="dxa" w:w="2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Denumire aparat/ dispozitiv</w:t>
            </w:r>
          </w:p>
        </w:tc>
        <w:tc>
          <w:tcPr>
            <w:tcW w:type="dxa" w:w="17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și serie aparat</w:t>
            </w:r>
          </w:p>
        </w:tc>
        <w:tc>
          <w:tcPr>
            <w:tcW w:type="dxa" w:w="4200"/>
            <w:gridSpan w:val="3"/>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Act deținere</w:t>
            </w:r>
          </w:p>
        </w:tc>
        <w:tc>
          <w:tcPr>
            <w:tcW w:type="dxa" w:w="1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Service/ verificare periodică</w:t>
            </w:r>
          </w:p>
        </w:tc>
        <w:tc>
          <w:tcPr>
            <w:tcW w:type="dxa" w:w="10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2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act</w:t>
            </w:r>
          </w:p>
        </w:tc>
        <w:tc>
          <w:tcPr>
            <w:tcW w:type="dxa" w:w="13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act</w:t>
            </w:r>
          </w:p>
        </w:tc>
        <w:tc>
          <w:tcPr>
            <w:tcW w:type="dxa" w:w="17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Termen de valabilitate act</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9</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10</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8F6C3B25-F598-2A21-CEB3-5AFB4FD9AF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casmm.ro/furnizori/evaluare/medicina-de-familie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casmm.ro/furnizori/evaluare/medicina-de-familie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Medicină de familie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2026-10-28T11:29:06.367Z</dcterms:created>
  <dcterms:modified xsi:type="dcterms:W3CDTF">2026-10-28T11:29:06.372Z</dcterms:modified>
</cp:coreProperties>
</file>

<file path=docProps/custom.xml><?xml version="1.0" encoding="utf-8"?>
<Properties xmlns="http://schemas.openxmlformats.org/officeDocument/2006/custom-properties" xmlns:vt="http://schemas.openxmlformats.org/officeDocument/2006/docPropsVTypes"/>
</file>